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804AD" w14:textId="77777777" w:rsidR="00A35291" w:rsidRDefault="00A35291">
      <w:pPr>
        <w:pStyle w:val="ManualText"/>
        <w:jc w:val="center"/>
        <w:rPr>
          <w:rFonts w:ascii="CG Times" w:hAnsi="CG Times"/>
          <w:b/>
          <w:color w:val="auto"/>
          <w:sz w:val="24"/>
        </w:rPr>
      </w:pPr>
      <w:bookmarkStart w:id="0" w:name="_GoBack"/>
      <w:bookmarkEnd w:id="0"/>
      <w:r>
        <w:rPr>
          <w:rFonts w:ascii="CG Times" w:hAnsi="CG Times"/>
          <w:b/>
          <w:color w:val="auto"/>
          <w:sz w:val="24"/>
        </w:rPr>
        <w:t>Addendum to Annuity Agreement</w:t>
      </w:r>
    </w:p>
    <w:p w14:paraId="2048306C" w14:textId="77777777" w:rsidR="00A35291" w:rsidRDefault="00A35291">
      <w:pPr>
        <w:pStyle w:val="ManualText"/>
        <w:jc w:val="center"/>
        <w:rPr>
          <w:rFonts w:ascii="CG Times" w:hAnsi="CG Times"/>
          <w:b/>
          <w:color w:val="auto"/>
          <w:sz w:val="24"/>
        </w:rPr>
      </w:pPr>
      <w:r>
        <w:rPr>
          <w:rFonts w:ascii="CG Times" w:hAnsi="CG Times"/>
          <w:b/>
          <w:color w:val="auto"/>
          <w:sz w:val="24"/>
        </w:rPr>
        <w:t xml:space="preserve">[Include if CA annuity: </w:t>
      </w:r>
      <w:r>
        <w:rPr>
          <w:rFonts w:ascii="CG Times" w:hAnsi="CG Times"/>
          <w:b/>
          <w:i/>
          <w:color w:val="auto"/>
          <w:sz w:val="24"/>
        </w:rPr>
        <w:t>as required by the California Department of Insurance</w:t>
      </w:r>
      <w:r>
        <w:rPr>
          <w:rFonts w:ascii="CG Times" w:hAnsi="CG Times"/>
          <w:b/>
          <w:color w:val="auto"/>
          <w:sz w:val="24"/>
        </w:rPr>
        <w:t>]</w:t>
      </w:r>
    </w:p>
    <w:p w14:paraId="0C767555" w14:textId="77777777" w:rsidR="00A35291" w:rsidRDefault="00A35291">
      <w:pPr>
        <w:pStyle w:val="ManualText"/>
        <w:jc w:val="center"/>
        <w:rPr>
          <w:rFonts w:ascii="CG Times" w:hAnsi="CG Times"/>
          <w:b/>
          <w:color w:val="auto"/>
          <w:sz w:val="24"/>
        </w:rPr>
      </w:pPr>
    </w:p>
    <w:p w14:paraId="377FE60B" w14:textId="77777777" w:rsidR="00A35291" w:rsidRDefault="00A35291">
      <w:pPr>
        <w:pStyle w:val="ManualText"/>
        <w:jc w:val="center"/>
        <w:rPr>
          <w:rFonts w:ascii="CG Times" w:hAnsi="CG Times"/>
          <w:color w:val="auto"/>
          <w:sz w:val="24"/>
        </w:rPr>
      </w:pPr>
      <w:r>
        <w:rPr>
          <w:rFonts w:ascii="CG Times" w:hAnsi="CG Times"/>
          <w:b/>
          <w:color w:val="auto"/>
          <w:sz w:val="24"/>
        </w:rPr>
        <w:t xml:space="preserve">Executed on </w:t>
      </w:r>
      <w:r>
        <w:rPr>
          <w:rFonts w:ascii="CG Times" w:hAnsi="CG Times"/>
          <w:b/>
          <w:i/>
          <w:color w:val="auto"/>
          <w:sz w:val="24"/>
        </w:rPr>
        <w:t>[date of annuity agreement]</w:t>
      </w:r>
    </w:p>
    <w:p w14:paraId="40A8F542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2CD5C6D6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2039BBC3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61E4EE45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2695C361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[</w:t>
      </w:r>
      <w:r>
        <w:rPr>
          <w:rFonts w:ascii="CG Times" w:hAnsi="CG Times"/>
          <w:i/>
          <w:color w:val="auto"/>
          <w:sz w:val="24"/>
        </w:rPr>
        <w:t>Name of donor</w:t>
      </w:r>
      <w:r>
        <w:rPr>
          <w:rFonts w:ascii="CG Times" w:hAnsi="CG Times"/>
          <w:color w:val="auto"/>
          <w:sz w:val="24"/>
        </w:rPr>
        <w:t>] and the [</w:t>
      </w:r>
      <w:r>
        <w:rPr>
          <w:rFonts w:ascii="CG Times" w:hAnsi="CG Times"/>
          <w:i/>
          <w:color w:val="auto"/>
          <w:sz w:val="24"/>
        </w:rPr>
        <w:t>full name of charity</w:t>
      </w:r>
      <w:r>
        <w:rPr>
          <w:rFonts w:ascii="CG Times" w:hAnsi="CG Times"/>
          <w:color w:val="auto"/>
          <w:sz w:val="24"/>
        </w:rPr>
        <w:t>] entered into an annuity agreement dated [</w:t>
      </w:r>
      <w:r>
        <w:rPr>
          <w:rFonts w:ascii="CG Times" w:hAnsi="CG Times"/>
          <w:i/>
          <w:color w:val="auto"/>
          <w:sz w:val="24"/>
        </w:rPr>
        <w:t>date of agreement</w:t>
      </w:r>
      <w:r>
        <w:rPr>
          <w:rFonts w:ascii="CG Times" w:hAnsi="CG Times"/>
          <w:color w:val="auto"/>
          <w:sz w:val="24"/>
        </w:rPr>
        <w:t>].  On that date, based on [</w:t>
      </w:r>
      <w:r>
        <w:rPr>
          <w:rFonts w:ascii="CG Times" w:hAnsi="CG Times"/>
          <w:i/>
          <w:color w:val="auto"/>
          <w:sz w:val="24"/>
        </w:rPr>
        <w:t>name of annuitant</w:t>
      </w:r>
      <w:r>
        <w:rPr>
          <w:rFonts w:ascii="CG Times" w:hAnsi="CG Times"/>
          <w:color w:val="auto"/>
          <w:sz w:val="24"/>
        </w:rPr>
        <w:t>]’s</w:t>
      </w:r>
      <w:r>
        <w:rPr>
          <w:rFonts w:ascii="CG Times" w:hAnsi="CG Times"/>
          <w:i/>
          <w:color w:val="auto"/>
          <w:sz w:val="24"/>
        </w:rPr>
        <w:t xml:space="preserve"> </w:t>
      </w:r>
      <w:r>
        <w:rPr>
          <w:rFonts w:ascii="CG Times" w:hAnsi="CG Times"/>
          <w:color w:val="auto"/>
          <w:sz w:val="24"/>
        </w:rPr>
        <w:t>date of birth, the annuity rate suggested by the American Council on Gift Annuities (ACGA) was [</w:t>
      </w:r>
      <w:r>
        <w:rPr>
          <w:rFonts w:ascii="CG Times" w:hAnsi="CG Times"/>
          <w:i/>
          <w:color w:val="auto"/>
          <w:sz w:val="24"/>
        </w:rPr>
        <w:t>ACGA rate</w:t>
      </w:r>
      <w:r>
        <w:rPr>
          <w:rFonts w:ascii="CG Times" w:hAnsi="CG Times"/>
          <w:color w:val="auto"/>
          <w:sz w:val="24"/>
        </w:rPr>
        <w:t>] percent.  While [</w:t>
      </w:r>
      <w:r>
        <w:rPr>
          <w:rFonts w:ascii="CG Times" w:hAnsi="CG Times"/>
          <w:i/>
          <w:color w:val="auto"/>
          <w:sz w:val="24"/>
        </w:rPr>
        <w:t>full name of charity</w:t>
      </w:r>
      <w:r>
        <w:rPr>
          <w:rFonts w:ascii="CG Times" w:hAnsi="CG Times"/>
          <w:color w:val="auto"/>
          <w:sz w:val="24"/>
        </w:rPr>
        <w:t>] usually follows the ACGA rates, in this instance an annuity rate of [</w:t>
      </w:r>
      <w:r>
        <w:rPr>
          <w:rFonts w:ascii="CG Times" w:hAnsi="CG Times"/>
          <w:i/>
          <w:color w:val="auto"/>
          <w:sz w:val="24"/>
        </w:rPr>
        <w:t>actual rate used</w:t>
      </w:r>
      <w:r>
        <w:rPr>
          <w:rFonts w:ascii="CG Times" w:hAnsi="CG Times"/>
          <w:color w:val="auto"/>
          <w:sz w:val="24"/>
        </w:rPr>
        <w:t>] percent was used.  The annuity payments shown in the gift annuity agreement, and the charitable deduction calculation, reflect the use of this lower rate.</w:t>
      </w:r>
    </w:p>
    <w:p w14:paraId="5A7532CF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5D2B0F7B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Information concerning the suggested rate, and the difference in calculations resulting from the lower rate, have been disclosed to [</w:t>
      </w:r>
      <w:r>
        <w:rPr>
          <w:rFonts w:ascii="CG Times" w:hAnsi="CG Times"/>
          <w:i/>
          <w:color w:val="auto"/>
          <w:sz w:val="24"/>
        </w:rPr>
        <w:t>name of donor</w:t>
      </w:r>
      <w:r>
        <w:rPr>
          <w:rFonts w:ascii="CG Times" w:hAnsi="CG Times"/>
          <w:color w:val="auto"/>
          <w:sz w:val="24"/>
        </w:rPr>
        <w:t>].  By [</w:t>
      </w:r>
      <w:r>
        <w:rPr>
          <w:rFonts w:ascii="CG Times" w:hAnsi="CG Times"/>
          <w:i/>
          <w:color w:val="auto"/>
          <w:sz w:val="24"/>
        </w:rPr>
        <w:t>his/her</w:t>
      </w:r>
      <w:r>
        <w:rPr>
          <w:rFonts w:ascii="CG Times" w:hAnsi="CG Times"/>
          <w:color w:val="auto"/>
          <w:sz w:val="24"/>
        </w:rPr>
        <w:t>] signature below, [</w:t>
      </w:r>
      <w:r>
        <w:rPr>
          <w:rFonts w:ascii="CG Times" w:hAnsi="CG Times"/>
          <w:i/>
          <w:color w:val="auto"/>
          <w:sz w:val="24"/>
        </w:rPr>
        <w:t>name of donor</w:t>
      </w:r>
      <w:r>
        <w:rPr>
          <w:rFonts w:ascii="CG Times" w:hAnsi="CG Times"/>
          <w:color w:val="auto"/>
          <w:sz w:val="24"/>
        </w:rPr>
        <w:t>] indicates agreement with the use of an annuity rate lower than the ACGA suggested rate.</w:t>
      </w:r>
    </w:p>
    <w:p w14:paraId="57FDCB2E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3E689A53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4DF52A3C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51620F98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DONOR:</w:t>
      </w:r>
    </w:p>
    <w:p w14:paraId="39FD2538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3F899781" w14:textId="77777777" w:rsidR="00A35291" w:rsidRDefault="00A35291">
      <w:pPr>
        <w:pStyle w:val="ManualText"/>
        <w:spacing w:before="58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[</w:t>
      </w:r>
      <w:r>
        <w:rPr>
          <w:rFonts w:ascii="CG Times" w:hAnsi="CG Times"/>
          <w:i/>
          <w:color w:val="auto"/>
          <w:sz w:val="24"/>
        </w:rPr>
        <w:t>Type in donor’s name</w:t>
      </w:r>
      <w:r>
        <w:rPr>
          <w:rFonts w:ascii="CG Times" w:hAnsi="CG Times"/>
          <w:color w:val="auto"/>
          <w:sz w:val="24"/>
        </w:rPr>
        <w:t>]</w:t>
      </w:r>
    </w:p>
    <w:p w14:paraId="1C86189E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5F6B1653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Date:</w:t>
      </w:r>
    </w:p>
    <w:p w14:paraId="2A445F72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1C0E6478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6F311114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48692307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047199A4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Agreed to by the [f</w:t>
      </w:r>
      <w:r>
        <w:rPr>
          <w:rFonts w:ascii="CG Times" w:hAnsi="CG Times"/>
          <w:i/>
          <w:color w:val="auto"/>
          <w:sz w:val="24"/>
        </w:rPr>
        <w:t>ull name of charity</w:t>
      </w:r>
      <w:r>
        <w:rPr>
          <w:rFonts w:ascii="CG Times" w:hAnsi="CG Times"/>
          <w:color w:val="auto"/>
          <w:sz w:val="24"/>
        </w:rPr>
        <w:t>]:</w:t>
      </w:r>
    </w:p>
    <w:p w14:paraId="151FD0BE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0097CA4A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By:</w:t>
      </w:r>
    </w:p>
    <w:p w14:paraId="5A383460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393E2942" w14:textId="77777777" w:rsidR="00A35291" w:rsidRDefault="00A35291">
      <w:pPr>
        <w:pStyle w:val="ManualText"/>
        <w:spacing w:before="29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>[</w:t>
      </w:r>
      <w:r>
        <w:rPr>
          <w:rFonts w:ascii="CG Times" w:hAnsi="CG Times"/>
          <w:i/>
          <w:color w:val="auto"/>
          <w:sz w:val="24"/>
        </w:rPr>
        <w:t>Name and title of officer</w:t>
      </w:r>
      <w:r>
        <w:rPr>
          <w:rFonts w:ascii="CG Times" w:hAnsi="CG Times"/>
          <w:color w:val="auto"/>
          <w:sz w:val="24"/>
        </w:rPr>
        <w:t>]</w:t>
      </w:r>
    </w:p>
    <w:p w14:paraId="20C19AE0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</w:p>
    <w:p w14:paraId="3E5F4B4E" w14:textId="77777777" w:rsidR="00A35291" w:rsidRDefault="00A35291">
      <w:pPr>
        <w:pStyle w:val="ManualText"/>
        <w:rPr>
          <w:rFonts w:ascii="CG Times" w:hAnsi="CG Times"/>
          <w:color w:val="auto"/>
          <w:sz w:val="24"/>
        </w:rPr>
      </w:pPr>
      <w:r>
        <w:rPr>
          <w:rFonts w:ascii="CG Times" w:hAnsi="CG Times"/>
          <w:color w:val="auto"/>
          <w:sz w:val="24"/>
        </w:rPr>
        <w:t xml:space="preserve">Date: </w:t>
      </w:r>
    </w:p>
    <w:p w14:paraId="68D8D78F" w14:textId="77777777" w:rsidR="00A35291" w:rsidRDefault="00A35291">
      <w:pPr>
        <w:rPr>
          <w:rFonts w:ascii="CG Times" w:hAnsi="CG Times"/>
        </w:rPr>
      </w:pPr>
    </w:p>
    <w:sectPr w:rsidR="00A352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576"/>
    <w:rsid w:val="007D5576"/>
    <w:rsid w:val="00A35291"/>
    <w:rsid w:val="00B5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2F32536"/>
  <w15:chartTrackingRefBased/>
  <w15:docId w15:val="{E272C80B-EF82-4652-A98D-92FB503F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</w:style>
  <w:style w:type="paragraph" w:customStyle="1" w:styleId="ManualText">
    <w:name w:val="Manual Text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Perpetua" w:hAnsi="Perpetua"/>
      <w:color w:val="000000"/>
      <w:sz w:val="26"/>
    </w:rPr>
  </w:style>
  <w:style w:type="paragraph" w:styleId="EnvelopeReturn">
    <w:name w:val="envelope return"/>
    <w:basedOn w:val="Normal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Addendum to Annuity Agreement</vt:lpstr>
    </vt:vector>
  </TitlesOfParts>
  <Company>pgs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Addendum to Annuity Agreement</dc:title>
  <dc:subject/>
  <dc:creator>Stephanie Schuler</dc:creator>
  <cp:keywords/>
  <dc:description/>
  <cp:lastModifiedBy>Bill Laskin</cp:lastModifiedBy>
  <cp:revision>2</cp:revision>
  <dcterms:created xsi:type="dcterms:W3CDTF">2018-10-30T17:39:00Z</dcterms:created>
  <dcterms:modified xsi:type="dcterms:W3CDTF">2018-10-30T17:39:00Z</dcterms:modified>
</cp:coreProperties>
</file>